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003ED" w14:textId="77777777" w:rsidR="00CF1133" w:rsidRDefault="00F93BD7" w:rsidP="00CF1133">
      <w:pPr>
        <w:ind w:left="-710" w:firstLine="695"/>
        <w:rPr>
          <w:b/>
          <w:bCs/>
        </w:rPr>
      </w:pPr>
    </w:p>
    <w:p w14:paraId="50838C2A" w14:textId="77777777" w:rsidR="00CF1133" w:rsidRDefault="00B0301B" w:rsidP="00CF1133">
      <w:pPr>
        <w:ind w:left="-710" w:firstLine="695"/>
      </w:pPr>
      <w:r>
        <w:rPr>
          <w:b/>
          <w:bCs/>
        </w:rPr>
        <w:t xml:space="preserve">Lancashire Enterprise Partnership Limited  </w:t>
      </w:r>
    </w:p>
    <w:p w14:paraId="61A504D7" w14:textId="77777777" w:rsidR="00CF1133" w:rsidRPr="00BC4466" w:rsidRDefault="00B0301B" w:rsidP="00CF1133">
      <w:pPr>
        <w:spacing w:after="0" w:line="256" w:lineRule="auto"/>
        <w:ind w:left="0" w:firstLine="0"/>
        <w:rPr>
          <w:b/>
          <w:bCs/>
        </w:rPr>
      </w:pPr>
      <w:r w:rsidRPr="00BC4466">
        <w:rPr>
          <w:b/>
          <w:bCs/>
        </w:rPr>
        <w:t xml:space="preserve"> </w:t>
      </w:r>
    </w:p>
    <w:p w14:paraId="12B7A74A" w14:textId="77777777" w:rsidR="00BC4466" w:rsidRPr="00BC4466" w:rsidRDefault="00B0301B" w:rsidP="00CF1133">
      <w:pPr>
        <w:spacing w:after="0" w:line="256" w:lineRule="auto"/>
        <w:ind w:left="0" w:firstLine="0"/>
        <w:rPr>
          <w:b/>
          <w:bCs/>
        </w:rPr>
      </w:pPr>
      <w:r w:rsidRPr="00BC4466">
        <w:rPr>
          <w:b/>
        </w:rPr>
        <w:t>Private and Confidential</w:t>
      </w:r>
      <w:r>
        <w:rPr>
          <w:b/>
        </w:rPr>
        <w:t>: No</w:t>
      </w:r>
    </w:p>
    <w:p w14:paraId="2A998D0A" w14:textId="77777777" w:rsidR="00BC4466" w:rsidRDefault="00F93BD7" w:rsidP="00CF1133">
      <w:pPr>
        <w:spacing w:after="0" w:line="256" w:lineRule="auto"/>
        <w:ind w:left="0" w:firstLine="0"/>
      </w:pPr>
    </w:p>
    <w:p w14:paraId="5FC4733A" w14:textId="77777777" w:rsidR="00A3358A" w:rsidRDefault="00B0301B" w:rsidP="00A3358A">
      <w:r w:rsidRPr="005D0C06">
        <w:rPr>
          <w:b/>
        </w:rPr>
        <w:t>Date:</w:t>
      </w:r>
      <w:r>
        <w:t xml:space="preserve"> </w:t>
      </w:r>
      <w:fldSimple w:instr=" DOCPROPERTY  MeetingDate  \* MERGEFORMAT ">
        <w:r>
          <w:t>Tuesday, 22 June 2021</w:t>
        </w:r>
      </w:fldSimple>
    </w:p>
    <w:p w14:paraId="0E855390" w14:textId="77777777" w:rsidR="00A3358A" w:rsidRDefault="00F93BD7" w:rsidP="00A3358A"/>
    <w:p w14:paraId="2BE36679" w14:textId="77777777" w:rsidR="00A3358A" w:rsidRDefault="00B0301B"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 Finance Out-turn Report 2020-21</w:t>
      </w:r>
      <w:r>
        <w:rPr>
          <w:rFonts w:eastAsia="Times New Roman" w:cs="Times New Roman"/>
          <w:b/>
          <w:color w:val="auto"/>
          <w:szCs w:val="20"/>
        </w:rPr>
        <w:fldChar w:fldCharType="end"/>
      </w:r>
    </w:p>
    <w:p w14:paraId="4DDEFB69" w14:textId="53CA362F" w:rsidR="00A3358A" w:rsidRDefault="00F93BD7" w:rsidP="00A3358A">
      <w:pPr>
        <w:ind w:left="0" w:firstLine="0"/>
      </w:pPr>
      <w:r>
        <w:t>(</w:t>
      </w:r>
      <w:r w:rsidR="00B0301B">
        <w:t xml:space="preserve">Appendix </w:t>
      </w:r>
      <w:r>
        <w:t xml:space="preserve">A </w:t>
      </w:r>
      <w:r w:rsidR="00B0301B">
        <w:t>refers to 2021 Final Out-turn statement</w:t>
      </w:r>
      <w:r>
        <w:t>)</w:t>
      </w:r>
    </w:p>
    <w:p w14:paraId="7E5FC19C" w14:textId="77777777" w:rsidR="00D7480F" w:rsidRDefault="00F93BD7" w:rsidP="00CF1133">
      <w:pPr>
        <w:spacing w:after="0" w:line="256" w:lineRule="auto"/>
        <w:ind w:left="0" w:firstLine="0"/>
      </w:pPr>
    </w:p>
    <w:p w14:paraId="3A936F0A" w14:textId="77777777" w:rsidR="00F41096" w:rsidRPr="00F41096" w:rsidRDefault="00B0301B"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Sarah Kemp</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531885</w:t>
      </w:r>
      <w:r>
        <w:rPr>
          <w:b/>
        </w:rPr>
        <w:fldChar w:fldCharType="end"/>
      </w:r>
      <w:r w:rsidRPr="00F41096">
        <w:rPr>
          <w:b/>
        </w:rPr>
        <w:t xml:space="preserve">, </w:t>
      </w:r>
    </w:p>
    <w:p w14:paraId="4517A5BA" w14:textId="77777777" w:rsidR="00F41096" w:rsidRPr="00F41096" w:rsidRDefault="00B0301B" w:rsidP="00F41096">
      <w:pPr>
        <w:ind w:right="-873"/>
        <w:rPr>
          <w:b/>
        </w:rPr>
      </w:pPr>
      <w:r>
        <w:rPr>
          <w:b/>
        </w:rPr>
        <w:fldChar w:fldCharType="begin"/>
      </w:r>
      <w:r>
        <w:rPr>
          <w:b/>
        </w:rPr>
        <w:instrText xml:space="preserve"> DOCPROPERTY  LeadOfficerEmail  \* MERGEFORMAT </w:instrText>
      </w:r>
      <w:r>
        <w:rPr>
          <w:b/>
        </w:rPr>
        <w:fldChar w:fldCharType="separate"/>
      </w:r>
      <w:r>
        <w:rPr>
          <w:b/>
        </w:rPr>
        <w:t>Sarah.Kemp@lancashirelep.co.uk</w:t>
      </w:r>
      <w:r>
        <w:rPr>
          <w:b/>
        </w:rPr>
        <w:fldChar w:fldCharType="end"/>
      </w:r>
    </w:p>
    <w:p w14:paraId="373DBB45" w14:textId="77777777" w:rsidR="00CF1133" w:rsidRDefault="00B0301B" w:rsidP="00CF1133">
      <w:pPr>
        <w:spacing w:after="0" w:line="256" w:lineRule="auto"/>
        <w:ind w:left="0" w:firstLine="0"/>
        <w:rPr>
          <w:b/>
          <w:bCs/>
        </w:rPr>
      </w:pPr>
      <w:r>
        <w:rPr>
          <w:b/>
          <w:bCs/>
        </w:rPr>
        <w:t xml:space="preserve"> </w:t>
      </w:r>
    </w:p>
    <w:p w14:paraId="564612B8" w14:textId="77777777" w:rsidR="00F95C8B" w:rsidRDefault="00F93BD7"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02DD2" w14:paraId="451ABD23" w14:textId="77777777" w:rsidTr="00841251">
        <w:tc>
          <w:tcPr>
            <w:tcW w:w="9180" w:type="dxa"/>
          </w:tcPr>
          <w:p w14:paraId="5948EFB7" w14:textId="77777777" w:rsidR="00F95C8B" w:rsidRDefault="00F93BD7" w:rsidP="00841251">
            <w:pPr>
              <w:pStyle w:val="Header"/>
            </w:pPr>
          </w:p>
          <w:p w14:paraId="5E211546" w14:textId="77777777" w:rsidR="00F95C8B" w:rsidRPr="00F95C8B" w:rsidRDefault="00B0301B" w:rsidP="00841251">
            <w:pPr>
              <w:pStyle w:val="Heading6"/>
              <w:rPr>
                <w:rFonts w:ascii="Arial" w:hAnsi="Arial"/>
                <w:b/>
                <w:color w:val="auto"/>
              </w:rPr>
            </w:pPr>
            <w:r w:rsidRPr="00F95C8B">
              <w:rPr>
                <w:rFonts w:ascii="Arial" w:hAnsi="Arial"/>
                <w:b/>
                <w:color w:val="auto"/>
              </w:rPr>
              <w:t>Executive Summary</w:t>
            </w:r>
          </w:p>
          <w:p w14:paraId="3639F772" w14:textId="77777777" w:rsidR="00F95C8B" w:rsidRPr="00F95C8B" w:rsidRDefault="00F93BD7" w:rsidP="00841251">
            <w:pPr>
              <w:rPr>
                <w:color w:val="auto"/>
              </w:rPr>
            </w:pPr>
          </w:p>
          <w:p w14:paraId="68D6A229" w14:textId="77777777" w:rsidR="004244FD" w:rsidRPr="000B6114" w:rsidRDefault="00B0301B" w:rsidP="004244FD">
            <w:pPr>
              <w:ind w:left="0" w:firstLine="0"/>
              <w:jc w:val="both"/>
              <w:rPr>
                <w:color w:val="auto"/>
                <w:lang w:eastAsia="en-US"/>
              </w:rPr>
            </w:pPr>
            <w:r>
              <w:rPr>
                <w:color w:val="auto"/>
              </w:rPr>
              <w:t>T</w:t>
            </w:r>
            <w:r w:rsidRPr="00F33B46">
              <w:rPr>
                <w:color w:val="auto"/>
              </w:rPr>
              <w:t>his report requests that the Lancashire Enterprise Partnership Board notes the outturn budget for 20</w:t>
            </w:r>
            <w:r>
              <w:rPr>
                <w:color w:val="auto"/>
              </w:rPr>
              <w:t>20</w:t>
            </w:r>
            <w:r w:rsidRPr="00F33B46">
              <w:rPr>
                <w:color w:val="auto"/>
              </w:rPr>
              <w:t>/2</w:t>
            </w:r>
            <w:r>
              <w:rPr>
                <w:color w:val="auto"/>
              </w:rPr>
              <w:t>1.</w:t>
            </w:r>
          </w:p>
          <w:p w14:paraId="0D17DF41" w14:textId="77777777" w:rsidR="00F95C8B" w:rsidRPr="00F95C8B" w:rsidRDefault="00F93BD7" w:rsidP="00841251">
            <w:pPr>
              <w:rPr>
                <w:color w:val="auto"/>
              </w:rPr>
            </w:pPr>
          </w:p>
          <w:p w14:paraId="67DC8AB7" w14:textId="77777777" w:rsidR="00F95C8B" w:rsidRPr="00F95C8B" w:rsidRDefault="00F93BD7" w:rsidP="00841251">
            <w:pPr>
              <w:rPr>
                <w:color w:val="auto"/>
              </w:rPr>
            </w:pPr>
          </w:p>
          <w:p w14:paraId="12C280F9" w14:textId="77777777" w:rsidR="00F95C8B" w:rsidRPr="00F95C8B" w:rsidRDefault="00B0301B" w:rsidP="00841251">
            <w:pPr>
              <w:pStyle w:val="Heading5"/>
              <w:rPr>
                <w:rFonts w:ascii="Arial" w:hAnsi="Arial"/>
                <w:b/>
                <w:color w:val="auto"/>
              </w:rPr>
            </w:pPr>
            <w:r w:rsidRPr="00F95C8B">
              <w:rPr>
                <w:rFonts w:ascii="Arial" w:hAnsi="Arial"/>
                <w:b/>
                <w:color w:val="auto"/>
              </w:rPr>
              <w:t>Recommendation</w:t>
            </w:r>
          </w:p>
          <w:p w14:paraId="4ADA98EA" w14:textId="77777777" w:rsidR="00F95C8B" w:rsidRPr="00F95C8B" w:rsidRDefault="00F93BD7" w:rsidP="00841251">
            <w:pPr>
              <w:rPr>
                <w:color w:val="auto"/>
              </w:rPr>
            </w:pPr>
          </w:p>
          <w:p w14:paraId="3F291549" w14:textId="2AED2E7B" w:rsidR="004244FD" w:rsidRPr="000B6114" w:rsidRDefault="00B0301B" w:rsidP="004244FD">
            <w:pPr>
              <w:spacing w:after="0" w:line="240" w:lineRule="auto"/>
              <w:ind w:left="0" w:firstLine="0"/>
              <w:jc w:val="both"/>
              <w:rPr>
                <w:bCs/>
                <w:color w:val="auto"/>
              </w:rPr>
            </w:pPr>
            <w:r>
              <w:rPr>
                <w:bCs/>
              </w:rPr>
              <w:t>T</w:t>
            </w:r>
            <w:r w:rsidRPr="00F33B46">
              <w:rPr>
                <w:bCs/>
              </w:rPr>
              <w:t xml:space="preserve">he Lancashire Enterprise Partnership Board is recommended to </w:t>
            </w:r>
            <w:r>
              <w:rPr>
                <w:bCs/>
              </w:rPr>
              <w:t>n</w:t>
            </w:r>
            <w:r w:rsidRPr="00F33B46">
              <w:rPr>
                <w:bCs/>
              </w:rPr>
              <w:t>ote the 20</w:t>
            </w:r>
            <w:r>
              <w:rPr>
                <w:bCs/>
              </w:rPr>
              <w:t>20/21</w:t>
            </w:r>
            <w:r w:rsidRPr="00F33B46">
              <w:rPr>
                <w:bCs/>
              </w:rPr>
              <w:t xml:space="preserve"> outturn as summarised in this report</w:t>
            </w:r>
            <w:r>
              <w:rPr>
                <w:bCs/>
              </w:rPr>
              <w:t>.</w:t>
            </w:r>
          </w:p>
          <w:p w14:paraId="262267EA" w14:textId="77777777" w:rsidR="00F95C8B" w:rsidRPr="00F95C8B" w:rsidRDefault="00F93BD7" w:rsidP="00841251">
            <w:pPr>
              <w:rPr>
                <w:color w:val="auto"/>
              </w:rPr>
            </w:pPr>
          </w:p>
          <w:p w14:paraId="10F9400C" w14:textId="77777777" w:rsidR="00F95C8B" w:rsidRDefault="00F93BD7" w:rsidP="00841251"/>
        </w:tc>
      </w:tr>
    </w:tbl>
    <w:p w14:paraId="2DD6CB12" w14:textId="77777777" w:rsidR="00A3358A" w:rsidRDefault="00F93BD7" w:rsidP="00CF1133">
      <w:pPr>
        <w:spacing w:after="0" w:line="256" w:lineRule="auto"/>
        <w:ind w:left="0" w:firstLine="0"/>
      </w:pPr>
    </w:p>
    <w:p w14:paraId="243945D6" w14:textId="77777777" w:rsidR="00A3358A" w:rsidRDefault="00B0301B" w:rsidP="00A3358A">
      <w:pPr>
        <w:rPr>
          <w:b/>
        </w:rPr>
      </w:pPr>
      <w:r>
        <w:rPr>
          <w:b/>
        </w:rPr>
        <w:t xml:space="preserve">Background and Advice </w:t>
      </w:r>
    </w:p>
    <w:p w14:paraId="4438E37B" w14:textId="77777777" w:rsidR="00A3358A" w:rsidRDefault="00F93BD7" w:rsidP="00A3358A">
      <w:pPr>
        <w:rPr>
          <w:b/>
        </w:rPr>
      </w:pPr>
    </w:p>
    <w:p w14:paraId="557BBD20" w14:textId="77777777" w:rsidR="004244FD" w:rsidRPr="00CB255F" w:rsidRDefault="00B0301B" w:rsidP="004244FD">
      <w:pPr>
        <w:pStyle w:val="NormalNumbered"/>
        <w:tabs>
          <w:tab w:val="clear" w:pos="1112"/>
        </w:tabs>
        <w:rPr>
          <w:sz w:val="22"/>
          <w:szCs w:val="22"/>
        </w:rPr>
      </w:pPr>
      <w:r w:rsidRPr="00CB255F">
        <w:rPr>
          <w:b/>
          <w:bCs/>
          <w:sz w:val="22"/>
          <w:szCs w:val="22"/>
        </w:rPr>
        <w:t>Introduction</w:t>
      </w:r>
    </w:p>
    <w:p w14:paraId="07134D7E" w14:textId="77777777" w:rsidR="004244FD" w:rsidRPr="00CB255F" w:rsidRDefault="00B0301B" w:rsidP="004244FD">
      <w:pPr>
        <w:pStyle w:val="NormalNumbered"/>
        <w:tabs>
          <w:tab w:val="clear" w:pos="1112"/>
        </w:tabs>
        <w:rPr>
          <w:sz w:val="22"/>
          <w:szCs w:val="22"/>
        </w:rPr>
      </w:pPr>
      <w:r w:rsidRPr="00CB255F">
        <w:rPr>
          <w:sz w:val="22"/>
          <w:szCs w:val="22"/>
        </w:rPr>
        <w:t xml:space="preserve">This report summarises the operating budget outturn for 2020/21. The key points to note are that in overall terms: </w:t>
      </w:r>
    </w:p>
    <w:p w14:paraId="0A909E96" w14:textId="681CE6C5" w:rsidR="004244FD" w:rsidRPr="00CB255F" w:rsidRDefault="00B0301B" w:rsidP="004244FD">
      <w:pPr>
        <w:pStyle w:val="NormalNumbered"/>
        <w:numPr>
          <w:ilvl w:val="0"/>
          <w:numId w:val="4"/>
        </w:numPr>
        <w:rPr>
          <w:sz w:val="22"/>
          <w:szCs w:val="22"/>
        </w:rPr>
      </w:pPr>
      <w:r w:rsidRPr="00CB255F">
        <w:rPr>
          <w:sz w:val="22"/>
          <w:szCs w:val="22"/>
        </w:rPr>
        <w:t xml:space="preserve">less money was spent than budgeted for in </w:t>
      </w:r>
      <w:r>
        <w:rPr>
          <w:sz w:val="22"/>
          <w:szCs w:val="22"/>
        </w:rPr>
        <w:t>2020/21</w:t>
      </w:r>
    </w:p>
    <w:p w14:paraId="6920A2BA" w14:textId="77777777" w:rsidR="004244FD" w:rsidRPr="00CB255F" w:rsidRDefault="00B0301B" w:rsidP="004244FD">
      <w:pPr>
        <w:pStyle w:val="NormalNumbered"/>
        <w:numPr>
          <w:ilvl w:val="0"/>
          <w:numId w:val="4"/>
        </w:numPr>
        <w:rPr>
          <w:sz w:val="22"/>
          <w:szCs w:val="22"/>
        </w:rPr>
      </w:pPr>
      <w:r w:rsidRPr="00CB255F">
        <w:rPr>
          <w:sz w:val="22"/>
          <w:szCs w:val="22"/>
        </w:rPr>
        <w:t>additional income beyond that budgeted was received by way of interest on Growing Place Loans, Funds help on account and programme support costs</w:t>
      </w:r>
    </w:p>
    <w:p w14:paraId="240FA94A" w14:textId="77777777" w:rsidR="004244FD" w:rsidRPr="00CB255F" w:rsidRDefault="00B0301B" w:rsidP="004244FD">
      <w:pPr>
        <w:pStyle w:val="NormalNumbered"/>
        <w:numPr>
          <w:ilvl w:val="0"/>
          <w:numId w:val="4"/>
        </w:numPr>
        <w:rPr>
          <w:sz w:val="22"/>
          <w:szCs w:val="22"/>
        </w:rPr>
      </w:pPr>
      <w:r w:rsidRPr="00CB255F">
        <w:rPr>
          <w:sz w:val="22"/>
          <w:szCs w:val="22"/>
        </w:rPr>
        <w:t>the reserves position decreased from £2.474m to £2.175m</w:t>
      </w:r>
    </w:p>
    <w:p w14:paraId="07DE4F0F" w14:textId="37CDF559" w:rsidR="004244FD" w:rsidRPr="00CB255F" w:rsidRDefault="00B0301B" w:rsidP="004244FD">
      <w:pPr>
        <w:pStyle w:val="NormalNumbered"/>
        <w:tabs>
          <w:tab w:val="clear" w:pos="1112"/>
        </w:tabs>
        <w:rPr>
          <w:sz w:val="22"/>
          <w:szCs w:val="22"/>
        </w:rPr>
      </w:pPr>
      <w:proofErr w:type="gramStart"/>
      <w:r w:rsidRPr="00CB255F">
        <w:rPr>
          <w:sz w:val="22"/>
          <w:szCs w:val="22"/>
        </w:rPr>
        <w:t>the resultant effect,</w:t>
      </w:r>
      <w:proofErr w:type="gramEnd"/>
      <w:r>
        <w:rPr>
          <w:sz w:val="22"/>
          <w:szCs w:val="22"/>
        </w:rPr>
        <w:t xml:space="preserve"> is</w:t>
      </w:r>
      <w:r w:rsidRPr="00CB255F">
        <w:rPr>
          <w:sz w:val="22"/>
          <w:szCs w:val="22"/>
        </w:rPr>
        <w:t xml:space="preserve"> a greater carry forward to 2021/22 than was budgeted for. This means that the LEP can create the necessary organisational infrastructure and development to deliver its core objectives.</w:t>
      </w:r>
    </w:p>
    <w:p w14:paraId="768B9763" w14:textId="77777777" w:rsidR="004244FD" w:rsidRPr="00CB255F" w:rsidRDefault="00B0301B" w:rsidP="004244FD">
      <w:pPr>
        <w:pStyle w:val="NormalNumbered"/>
        <w:tabs>
          <w:tab w:val="clear" w:pos="1112"/>
        </w:tabs>
        <w:rPr>
          <w:b/>
          <w:bCs/>
          <w:sz w:val="22"/>
          <w:szCs w:val="22"/>
        </w:rPr>
      </w:pPr>
      <w:r w:rsidRPr="00CB255F">
        <w:rPr>
          <w:b/>
          <w:bCs/>
          <w:sz w:val="22"/>
          <w:szCs w:val="22"/>
        </w:rPr>
        <w:t>1.0</w:t>
      </w:r>
      <w:r w:rsidRPr="00CB255F">
        <w:rPr>
          <w:b/>
          <w:bCs/>
          <w:sz w:val="22"/>
          <w:szCs w:val="22"/>
        </w:rPr>
        <w:tab/>
        <w:t xml:space="preserve"> 2020/21 Outturn Position</w:t>
      </w:r>
    </w:p>
    <w:p w14:paraId="643B9FDB" w14:textId="77777777" w:rsidR="004244FD" w:rsidRPr="00CB255F" w:rsidRDefault="00B0301B" w:rsidP="004244FD">
      <w:pPr>
        <w:pStyle w:val="NormalNumbered"/>
        <w:tabs>
          <w:tab w:val="clear" w:pos="1112"/>
        </w:tabs>
        <w:rPr>
          <w:sz w:val="22"/>
          <w:szCs w:val="22"/>
        </w:rPr>
      </w:pPr>
      <w:r w:rsidRPr="00CB255F">
        <w:rPr>
          <w:sz w:val="22"/>
          <w:szCs w:val="22"/>
        </w:rPr>
        <w:t xml:space="preserve">1.1 </w:t>
      </w:r>
      <w:r w:rsidRPr="00CB255F">
        <w:rPr>
          <w:sz w:val="22"/>
          <w:szCs w:val="22"/>
        </w:rPr>
        <w:tab/>
        <w:t>The outturn position for 2020/21 is shown on Appendix A attached.</w:t>
      </w:r>
    </w:p>
    <w:p w14:paraId="5E708E2A" w14:textId="77777777" w:rsidR="004244FD" w:rsidRPr="00CB255F" w:rsidRDefault="00B0301B" w:rsidP="004244FD">
      <w:pPr>
        <w:pStyle w:val="NormalNumbered"/>
        <w:tabs>
          <w:tab w:val="clear" w:pos="1112"/>
        </w:tabs>
        <w:rPr>
          <w:b/>
          <w:bCs/>
          <w:sz w:val="22"/>
          <w:szCs w:val="22"/>
        </w:rPr>
      </w:pPr>
      <w:r w:rsidRPr="00CB255F">
        <w:rPr>
          <w:b/>
          <w:bCs/>
          <w:sz w:val="22"/>
          <w:szCs w:val="22"/>
        </w:rPr>
        <w:lastRenderedPageBreak/>
        <w:t xml:space="preserve">1.2 </w:t>
      </w:r>
      <w:r w:rsidRPr="00CB255F">
        <w:rPr>
          <w:b/>
          <w:bCs/>
          <w:sz w:val="22"/>
          <w:szCs w:val="22"/>
        </w:rPr>
        <w:tab/>
        <w:t xml:space="preserve">Income </w:t>
      </w:r>
    </w:p>
    <w:p w14:paraId="1F0AD9E5" w14:textId="77777777" w:rsidR="004244FD" w:rsidRPr="00CB255F" w:rsidRDefault="00B0301B" w:rsidP="004244FD">
      <w:pPr>
        <w:pStyle w:val="NormalNumbered"/>
        <w:tabs>
          <w:tab w:val="clear" w:pos="1112"/>
        </w:tabs>
        <w:rPr>
          <w:sz w:val="22"/>
          <w:szCs w:val="22"/>
        </w:rPr>
      </w:pPr>
      <w:r w:rsidRPr="00CB255F">
        <w:rPr>
          <w:sz w:val="22"/>
          <w:szCs w:val="22"/>
        </w:rPr>
        <w:t>All budgeted income was received as expected. In addition, during the year there have been several significant receipts which total £464.8k made up as follows:</w:t>
      </w:r>
    </w:p>
    <w:p w14:paraId="7E55EA99" w14:textId="77777777" w:rsidR="004244FD" w:rsidRPr="00CB255F" w:rsidRDefault="00B0301B" w:rsidP="004244FD">
      <w:pPr>
        <w:pStyle w:val="NormalNumbered"/>
        <w:numPr>
          <w:ilvl w:val="0"/>
          <w:numId w:val="5"/>
        </w:numPr>
        <w:rPr>
          <w:sz w:val="22"/>
          <w:szCs w:val="22"/>
        </w:rPr>
      </w:pPr>
      <w:r w:rsidRPr="00CB255F">
        <w:rPr>
          <w:sz w:val="22"/>
          <w:szCs w:val="22"/>
        </w:rPr>
        <w:t xml:space="preserve">loan interest receipts from the Growing Places </w:t>
      </w:r>
      <w:r w:rsidRPr="00CB255F">
        <w:rPr>
          <w:sz w:val="22"/>
          <w:szCs w:val="22"/>
        </w:rPr>
        <w:tab/>
      </w:r>
      <w:r w:rsidRPr="00CB255F">
        <w:rPr>
          <w:sz w:val="22"/>
          <w:szCs w:val="22"/>
        </w:rPr>
        <w:tab/>
      </w:r>
      <w:r w:rsidRPr="00CB255F">
        <w:rPr>
          <w:sz w:val="22"/>
          <w:szCs w:val="22"/>
        </w:rPr>
        <w:tab/>
        <w:t>£286,899</w:t>
      </w:r>
    </w:p>
    <w:p w14:paraId="4115E991" w14:textId="77777777" w:rsidR="004244FD" w:rsidRPr="00CB255F" w:rsidRDefault="00B0301B" w:rsidP="004244FD">
      <w:pPr>
        <w:pStyle w:val="NormalNumbered"/>
        <w:numPr>
          <w:ilvl w:val="0"/>
          <w:numId w:val="5"/>
        </w:numPr>
        <w:rPr>
          <w:sz w:val="22"/>
          <w:szCs w:val="22"/>
        </w:rPr>
      </w:pPr>
      <w:r w:rsidRPr="00CB255F">
        <w:rPr>
          <w:sz w:val="22"/>
          <w:szCs w:val="22"/>
        </w:rPr>
        <w:t>interest for LEP Funds held on account</w:t>
      </w:r>
      <w:r w:rsidRPr="00CB255F">
        <w:rPr>
          <w:sz w:val="22"/>
          <w:szCs w:val="22"/>
        </w:rPr>
        <w:tab/>
      </w:r>
      <w:r w:rsidRPr="00CB255F">
        <w:rPr>
          <w:sz w:val="22"/>
          <w:szCs w:val="22"/>
        </w:rPr>
        <w:tab/>
      </w:r>
      <w:r w:rsidRPr="00CB255F">
        <w:rPr>
          <w:sz w:val="22"/>
          <w:szCs w:val="22"/>
        </w:rPr>
        <w:tab/>
      </w:r>
      <w:r w:rsidRPr="00CB255F">
        <w:rPr>
          <w:sz w:val="22"/>
          <w:szCs w:val="22"/>
        </w:rPr>
        <w:tab/>
        <w:t xml:space="preserve"> £90,399</w:t>
      </w:r>
    </w:p>
    <w:p w14:paraId="00AE2E6E" w14:textId="77777777" w:rsidR="004244FD" w:rsidRPr="00CB255F" w:rsidRDefault="00B0301B" w:rsidP="004244FD">
      <w:pPr>
        <w:pStyle w:val="NormalNumbered"/>
        <w:numPr>
          <w:ilvl w:val="0"/>
          <w:numId w:val="5"/>
        </w:numPr>
        <w:rPr>
          <w:sz w:val="22"/>
          <w:szCs w:val="22"/>
        </w:rPr>
      </w:pPr>
      <w:r w:rsidRPr="00CB255F">
        <w:rPr>
          <w:sz w:val="22"/>
          <w:szCs w:val="22"/>
        </w:rPr>
        <w:t>Additional BEIS Funds to administer the Getting Building Fund</w:t>
      </w:r>
      <w:r w:rsidRPr="00CB255F">
        <w:rPr>
          <w:sz w:val="22"/>
          <w:szCs w:val="22"/>
        </w:rPr>
        <w:tab/>
        <w:t xml:space="preserve"> £87,500</w:t>
      </w:r>
    </w:p>
    <w:p w14:paraId="3537E1C4" w14:textId="77777777" w:rsidR="004244FD" w:rsidRPr="00CB255F" w:rsidRDefault="00B0301B" w:rsidP="004244FD">
      <w:pPr>
        <w:pStyle w:val="NormalNumbered"/>
        <w:tabs>
          <w:tab w:val="clear" w:pos="1112"/>
        </w:tabs>
        <w:rPr>
          <w:b/>
          <w:bCs/>
          <w:sz w:val="22"/>
          <w:szCs w:val="22"/>
        </w:rPr>
      </w:pPr>
      <w:r w:rsidRPr="00CB255F">
        <w:rPr>
          <w:b/>
          <w:bCs/>
          <w:sz w:val="22"/>
          <w:szCs w:val="22"/>
        </w:rPr>
        <w:t xml:space="preserve">1.3 </w:t>
      </w:r>
      <w:r w:rsidRPr="00CB255F">
        <w:rPr>
          <w:b/>
          <w:bCs/>
          <w:sz w:val="22"/>
          <w:szCs w:val="22"/>
        </w:rPr>
        <w:tab/>
        <w:t>Expenditure</w:t>
      </w:r>
    </w:p>
    <w:p w14:paraId="3BDCF1B3" w14:textId="77777777" w:rsidR="004244FD" w:rsidRPr="00CB255F" w:rsidRDefault="00B0301B" w:rsidP="004244FD">
      <w:pPr>
        <w:pStyle w:val="NormalNumbered"/>
        <w:tabs>
          <w:tab w:val="clear" w:pos="1112"/>
        </w:tabs>
        <w:rPr>
          <w:sz w:val="22"/>
          <w:szCs w:val="22"/>
        </w:rPr>
      </w:pPr>
      <w:r w:rsidRPr="00CB255F">
        <w:rPr>
          <w:i/>
          <w:iCs/>
          <w:sz w:val="22"/>
          <w:szCs w:val="22"/>
        </w:rPr>
        <w:t>Staffing</w:t>
      </w:r>
      <w:r w:rsidRPr="00CB255F">
        <w:rPr>
          <w:sz w:val="22"/>
          <w:szCs w:val="22"/>
        </w:rPr>
        <w:t xml:space="preserve"> – Overall, there has been a c£60k saving on staffing costs from those budgeted. This largely reflects the time taken to appoint a new Head of Strategic Communications and Programme Support Manager</w:t>
      </w:r>
      <w:r>
        <w:rPr>
          <w:sz w:val="22"/>
          <w:szCs w:val="22"/>
        </w:rPr>
        <w:t>.</w:t>
      </w:r>
    </w:p>
    <w:p w14:paraId="263128AC" w14:textId="77777777" w:rsidR="004244FD" w:rsidRPr="00CB255F" w:rsidRDefault="00B0301B" w:rsidP="004244FD">
      <w:pPr>
        <w:pStyle w:val="NormalNumbered"/>
        <w:tabs>
          <w:tab w:val="clear" w:pos="1112"/>
        </w:tabs>
        <w:rPr>
          <w:sz w:val="22"/>
          <w:szCs w:val="22"/>
        </w:rPr>
      </w:pPr>
      <w:r w:rsidRPr="00CB255F">
        <w:rPr>
          <w:i/>
          <w:iCs/>
          <w:sz w:val="22"/>
          <w:szCs w:val="22"/>
        </w:rPr>
        <w:t>Core running costs</w:t>
      </w:r>
      <w:r w:rsidRPr="00CB255F">
        <w:rPr>
          <w:sz w:val="22"/>
          <w:szCs w:val="22"/>
        </w:rPr>
        <w:t xml:space="preserve"> – This includes the rent of the LEP offices and costs of subscriptions and expenses plus general administration costs. Despite not being able to use the LEP offices due to Covid, which delivered a small saving, a new charge has been introduced of £15,200 for Treasury Management Fees.</w:t>
      </w:r>
    </w:p>
    <w:p w14:paraId="46F218F7" w14:textId="734A32BE" w:rsidR="004244FD" w:rsidRPr="00CB255F" w:rsidRDefault="00B0301B" w:rsidP="004244FD">
      <w:pPr>
        <w:pStyle w:val="NormalNumbered"/>
        <w:tabs>
          <w:tab w:val="clear" w:pos="1112"/>
        </w:tabs>
        <w:rPr>
          <w:sz w:val="22"/>
          <w:szCs w:val="22"/>
        </w:rPr>
      </w:pPr>
      <w:r w:rsidRPr="00CB255F">
        <w:rPr>
          <w:i/>
          <w:iCs/>
          <w:sz w:val="22"/>
          <w:szCs w:val="22"/>
        </w:rPr>
        <w:t>Project Support</w:t>
      </w:r>
      <w:r w:rsidRPr="00CB255F">
        <w:rPr>
          <w:sz w:val="22"/>
          <w:szCs w:val="22"/>
        </w:rPr>
        <w:t xml:space="preserve"> – £1.302m was allocated for Project Support and a saving of £1.02m was made. This was intentional, achieved by allocating Growth Deal Funds to Eden Project, saving £500k</w:t>
      </w:r>
      <w:r>
        <w:rPr>
          <w:sz w:val="22"/>
          <w:szCs w:val="22"/>
        </w:rPr>
        <w:t xml:space="preserve"> from the operating budget</w:t>
      </w:r>
      <w:r w:rsidRPr="00CB255F">
        <w:rPr>
          <w:sz w:val="22"/>
          <w:szCs w:val="22"/>
        </w:rPr>
        <w:t xml:space="preserve"> and making operational savings across several</w:t>
      </w:r>
      <w:r>
        <w:rPr>
          <w:sz w:val="22"/>
          <w:szCs w:val="22"/>
        </w:rPr>
        <w:t xml:space="preserve"> other</w:t>
      </w:r>
      <w:r w:rsidRPr="00CB255F">
        <w:rPr>
          <w:sz w:val="22"/>
          <w:szCs w:val="22"/>
        </w:rPr>
        <w:t xml:space="preserve"> budgeted areas. This to create headroom in the 2021/22 budget to create sufficient staff capacity and capability to operate effectively and respond to numerous opportunities as they present; particularly for capacity in strategy, policy and investment.</w:t>
      </w:r>
    </w:p>
    <w:p w14:paraId="50B48456" w14:textId="77777777" w:rsidR="004244FD" w:rsidRPr="00CB255F" w:rsidRDefault="00B0301B" w:rsidP="004244FD">
      <w:pPr>
        <w:pStyle w:val="NormalNumbered"/>
        <w:tabs>
          <w:tab w:val="clear" w:pos="1112"/>
        </w:tabs>
        <w:rPr>
          <w:sz w:val="22"/>
          <w:szCs w:val="22"/>
        </w:rPr>
      </w:pPr>
      <w:r w:rsidRPr="00CB255F">
        <w:rPr>
          <w:sz w:val="22"/>
          <w:szCs w:val="22"/>
        </w:rPr>
        <w:t xml:space="preserve">Projects supported included County of Culture and Pride of Place Blackpool and a small </w:t>
      </w:r>
      <w:r>
        <w:rPr>
          <w:sz w:val="22"/>
          <w:szCs w:val="22"/>
        </w:rPr>
        <w:t>a</w:t>
      </w:r>
      <w:r w:rsidRPr="00CB255F">
        <w:rPr>
          <w:sz w:val="22"/>
          <w:szCs w:val="22"/>
        </w:rPr>
        <w:t>mount towards Festival of Making for the latter of which, most costs will be carried forward to 2021/22 as a result of delays due to Covid. New items of project support expenditure not anticipated at the start of the year include further Local Industrial Strategy support and development of the Strategic Framework.</w:t>
      </w:r>
    </w:p>
    <w:p w14:paraId="3845B175" w14:textId="77777777" w:rsidR="004244FD" w:rsidRPr="00CB255F" w:rsidRDefault="00B0301B" w:rsidP="004244FD">
      <w:pPr>
        <w:pStyle w:val="NormalNumbered"/>
        <w:tabs>
          <w:tab w:val="clear" w:pos="1112"/>
        </w:tabs>
        <w:rPr>
          <w:sz w:val="22"/>
          <w:szCs w:val="22"/>
        </w:rPr>
      </w:pPr>
      <w:r w:rsidRPr="00CB255F">
        <w:rPr>
          <w:i/>
          <w:iCs/>
          <w:sz w:val="22"/>
          <w:szCs w:val="22"/>
        </w:rPr>
        <w:t>Marketing &amp; comms</w:t>
      </w:r>
      <w:r w:rsidRPr="00CB255F">
        <w:rPr>
          <w:sz w:val="22"/>
          <w:szCs w:val="22"/>
        </w:rPr>
        <w:t xml:space="preserve"> –£120k was budgeted in total. All anticipated costs were met, delivering a small saving of c£4k</w:t>
      </w:r>
    </w:p>
    <w:p w14:paraId="64B5A3A7" w14:textId="77777777" w:rsidR="004244FD" w:rsidRPr="00CB255F" w:rsidRDefault="00B0301B" w:rsidP="004244FD">
      <w:pPr>
        <w:pStyle w:val="NormalNumbered"/>
        <w:tabs>
          <w:tab w:val="clear" w:pos="1112"/>
        </w:tabs>
        <w:rPr>
          <w:i/>
          <w:iCs/>
          <w:sz w:val="22"/>
          <w:szCs w:val="22"/>
        </w:rPr>
      </w:pPr>
      <w:r w:rsidRPr="00CB255F">
        <w:rPr>
          <w:i/>
          <w:iCs/>
          <w:sz w:val="22"/>
          <w:szCs w:val="22"/>
        </w:rPr>
        <w:t xml:space="preserve">Fees and Charges </w:t>
      </w:r>
      <w:r w:rsidRPr="00CB255F">
        <w:rPr>
          <w:sz w:val="22"/>
          <w:szCs w:val="22"/>
        </w:rPr>
        <w:t>the budget of £260k was exceeded by c£18k, mainly attributable to the costs of temporary consultancy to fill gaps in strategic capacity.</w:t>
      </w:r>
    </w:p>
    <w:p w14:paraId="275428D1" w14:textId="77777777" w:rsidR="004244FD" w:rsidRPr="00CB255F" w:rsidRDefault="00B0301B" w:rsidP="004244FD">
      <w:pPr>
        <w:pStyle w:val="NormalNumbered"/>
        <w:tabs>
          <w:tab w:val="clear" w:pos="1112"/>
        </w:tabs>
        <w:rPr>
          <w:sz w:val="22"/>
          <w:szCs w:val="22"/>
        </w:rPr>
      </w:pPr>
      <w:r w:rsidRPr="00CB255F">
        <w:rPr>
          <w:i/>
          <w:iCs/>
          <w:sz w:val="22"/>
          <w:szCs w:val="22"/>
        </w:rPr>
        <w:t>Restructure</w:t>
      </w:r>
      <w:r w:rsidRPr="00CB255F">
        <w:rPr>
          <w:sz w:val="22"/>
          <w:szCs w:val="22"/>
        </w:rPr>
        <w:t xml:space="preserve"> – the budget of £180k was applied to consultancy support to provide temporary capacity. This temporary capacity was terminated within the year, pending appointment of new in-house staff. A new provision for staff indemnities of £100k was applied as a one-off item and in-year recruitment costs were minimal. A saving of c£57k was achieved.</w:t>
      </w:r>
    </w:p>
    <w:p w14:paraId="62AEAA06" w14:textId="77777777" w:rsidR="004244FD" w:rsidRPr="00CB255F" w:rsidRDefault="00B0301B" w:rsidP="004244FD">
      <w:pPr>
        <w:pStyle w:val="NormalNumbered"/>
        <w:tabs>
          <w:tab w:val="clear" w:pos="1112"/>
        </w:tabs>
        <w:rPr>
          <w:b/>
          <w:bCs/>
          <w:sz w:val="22"/>
          <w:szCs w:val="22"/>
        </w:rPr>
      </w:pPr>
      <w:r w:rsidRPr="00CB255F">
        <w:rPr>
          <w:b/>
          <w:bCs/>
          <w:sz w:val="22"/>
          <w:szCs w:val="22"/>
        </w:rPr>
        <w:t>1.4 Reserves</w:t>
      </w:r>
    </w:p>
    <w:p w14:paraId="61BD88B0" w14:textId="77777777" w:rsidR="004244FD" w:rsidRPr="00CB255F" w:rsidRDefault="00B0301B" w:rsidP="004244FD">
      <w:pPr>
        <w:pStyle w:val="NormalNumbered"/>
        <w:tabs>
          <w:tab w:val="clear" w:pos="1112"/>
        </w:tabs>
        <w:rPr>
          <w:sz w:val="22"/>
          <w:szCs w:val="22"/>
        </w:rPr>
      </w:pPr>
      <w:r w:rsidRPr="00CB255F">
        <w:rPr>
          <w:sz w:val="22"/>
          <w:szCs w:val="22"/>
        </w:rPr>
        <w:t>The impact of the above has been to decrease the reserves held by the LEP from £ 2.474m as at end March 2019 to £2.175m at close of the financial year.</w:t>
      </w:r>
    </w:p>
    <w:p w14:paraId="3F319FFB" w14:textId="77777777" w:rsidR="00386D34" w:rsidRDefault="00F93BD7"/>
    <w:p w14:paraId="6DD32411" w14:textId="77777777" w:rsidR="005D0C06" w:rsidRPr="00AB6785" w:rsidRDefault="00B0301B" w:rsidP="005D0C06">
      <w:pPr>
        <w:pStyle w:val="Heading5"/>
        <w:rPr>
          <w:rFonts w:ascii="Arial" w:hAnsi="Arial"/>
          <w:b/>
          <w:color w:val="auto"/>
        </w:rPr>
      </w:pPr>
      <w:r w:rsidRPr="00AB6785">
        <w:rPr>
          <w:rFonts w:ascii="Arial" w:hAnsi="Arial"/>
          <w:b/>
          <w:color w:val="auto"/>
        </w:rPr>
        <w:lastRenderedPageBreak/>
        <w:t>List of Background Papers</w:t>
      </w:r>
    </w:p>
    <w:p w14:paraId="581B8FBE" w14:textId="77777777" w:rsidR="005D0C06" w:rsidRDefault="00F93BD7" w:rsidP="005D0C06"/>
    <w:tbl>
      <w:tblPr>
        <w:tblW w:w="0" w:type="auto"/>
        <w:tblLayout w:type="fixed"/>
        <w:tblLook w:val="0000" w:firstRow="0" w:lastRow="0" w:firstColumn="0" w:lastColumn="0" w:noHBand="0" w:noVBand="0"/>
      </w:tblPr>
      <w:tblGrid>
        <w:gridCol w:w="3510"/>
        <w:gridCol w:w="2492"/>
        <w:gridCol w:w="3178"/>
      </w:tblGrid>
      <w:tr w:rsidR="00B02DD2" w14:paraId="44DAD12D" w14:textId="77777777" w:rsidTr="00434CCE">
        <w:tc>
          <w:tcPr>
            <w:tcW w:w="3510" w:type="dxa"/>
          </w:tcPr>
          <w:p w14:paraId="346657B2" w14:textId="77777777" w:rsidR="005D0C06" w:rsidRPr="00AB6785" w:rsidRDefault="00B0301B"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553F222D" w14:textId="77777777" w:rsidR="005D0C06" w:rsidRPr="00AB6785" w:rsidRDefault="00B0301B"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720F025E" w14:textId="77777777" w:rsidR="005D0C06" w:rsidRPr="00AB6785" w:rsidRDefault="00B0301B" w:rsidP="00434CCE">
            <w:pPr>
              <w:pStyle w:val="Heading7"/>
              <w:rPr>
                <w:rFonts w:ascii="Arial" w:hAnsi="Arial" w:cs="Arial"/>
                <w:i w:val="0"/>
                <w:color w:val="auto"/>
              </w:rPr>
            </w:pPr>
            <w:r w:rsidRPr="00AB6785">
              <w:rPr>
                <w:rFonts w:ascii="Arial" w:hAnsi="Arial" w:cs="Arial"/>
                <w:i w:val="0"/>
                <w:color w:val="auto"/>
              </w:rPr>
              <w:t>Contact/Tel</w:t>
            </w:r>
          </w:p>
        </w:tc>
      </w:tr>
      <w:tr w:rsidR="00B02DD2" w14:paraId="7FED488B" w14:textId="77777777" w:rsidTr="00434CCE">
        <w:tc>
          <w:tcPr>
            <w:tcW w:w="3510" w:type="dxa"/>
          </w:tcPr>
          <w:p w14:paraId="19977D19" w14:textId="77777777" w:rsidR="005D0C06" w:rsidRPr="00AB6785" w:rsidRDefault="00F93BD7" w:rsidP="00434CCE">
            <w:pPr>
              <w:rPr>
                <w:color w:val="auto"/>
              </w:rPr>
            </w:pPr>
          </w:p>
          <w:p w14:paraId="63A6E213" w14:textId="77777777" w:rsidR="005D0C06" w:rsidRDefault="00B0301B" w:rsidP="00434CCE">
            <w:pPr>
              <w:rPr>
                <w:color w:val="auto"/>
              </w:rPr>
            </w:pPr>
            <w:r w:rsidRPr="00F95C8B">
              <w:rPr>
                <w:color w:val="auto"/>
              </w:rPr>
              <w:fldChar w:fldCharType="begin">
                <w:ffData>
                  <w:name w:val="Text13"/>
                  <w:enabled/>
                  <w:calcOnExit w:val="0"/>
                  <w:textInput>
                    <w:default w:val="insert details"/>
                  </w:textInput>
                </w:ffData>
              </w:fldChar>
            </w:r>
            <w:r w:rsidRPr="00F95C8B">
              <w:rPr>
                <w:color w:val="auto"/>
              </w:rPr>
              <w:instrText xml:space="preserve"> FORMTEXT </w:instrText>
            </w:r>
            <w:r w:rsidRPr="00F95C8B">
              <w:rPr>
                <w:color w:val="auto"/>
              </w:rPr>
            </w:r>
            <w:r w:rsidRPr="00F95C8B">
              <w:rPr>
                <w:color w:val="auto"/>
              </w:rPr>
              <w:fldChar w:fldCharType="separate"/>
            </w:r>
            <w:r w:rsidRPr="00F95C8B">
              <w:rPr>
                <w:noProof/>
                <w:color w:val="auto"/>
              </w:rPr>
              <w:t>insert details</w:t>
            </w:r>
            <w:r w:rsidRPr="00F95C8B">
              <w:rPr>
                <w:color w:val="auto"/>
              </w:rPr>
              <w:fldChar w:fldCharType="end"/>
            </w:r>
          </w:p>
          <w:p w14:paraId="143BE35F" w14:textId="77777777" w:rsidR="005D0C06" w:rsidRPr="00AB6785" w:rsidRDefault="00F93BD7" w:rsidP="00434CCE">
            <w:pPr>
              <w:rPr>
                <w:color w:val="auto"/>
              </w:rPr>
            </w:pPr>
          </w:p>
        </w:tc>
        <w:tc>
          <w:tcPr>
            <w:tcW w:w="2492" w:type="dxa"/>
          </w:tcPr>
          <w:p w14:paraId="588E7FA3" w14:textId="77777777" w:rsidR="005D0C06" w:rsidRPr="00AB6785" w:rsidRDefault="00F93BD7" w:rsidP="00434CCE">
            <w:pPr>
              <w:rPr>
                <w:color w:val="auto"/>
              </w:rPr>
            </w:pPr>
          </w:p>
        </w:tc>
        <w:tc>
          <w:tcPr>
            <w:tcW w:w="3178" w:type="dxa"/>
          </w:tcPr>
          <w:p w14:paraId="6DC37F08" w14:textId="77777777" w:rsidR="005D0C06" w:rsidRPr="00AB6785" w:rsidRDefault="00F93BD7" w:rsidP="00434CCE">
            <w:pPr>
              <w:rPr>
                <w:color w:val="auto"/>
              </w:rPr>
            </w:pPr>
          </w:p>
        </w:tc>
      </w:tr>
      <w:tr w:rsidR="00B02DD2" w14:paraId="1E44B235" w14:textId="77777777" w:rsidTr="00434CCE">
        <w:trPr>
          <w:cantSplit/>
        </w:trPr>
        <w:tc>
          <w:tcPr>
            <w:tcW w:w="9180" w:type="dxa"/>
            <w:gridSpan w:val="3"/>
          </w:tcPr>
          <w:p w14:paraId="4D04F967" w14:textId="77777777" w:rsidR="005D0C06" w:rsidRDefault="00F93BD7" w:rsidP="00434CCE"/>
          <w:p w14:paraId="52E0B677" w14:textId="77777777" w:rsidR="005D0C06" w:rsidRDefault="00B0301B" w:rsidP="00434CCE">
            <w:r>
              <w:t xml:space="preserve">Reason for inclusion in Part II, if appropriate </w:t>
            </w:r>
          </w:p>
          <w:p w14:paraId="11C4C91A" w14:textId="77777777" w:rsidR="005D0C06" w:rsidRDefault="00F93BD7" w:rsidP="00434CCE"/>
          <w:p w14:paraId="4563A411" w14:textId="77777777" w:rsidR="005D0C06" w:rsidRPr="00F95C8B" w:rsidRDefault="00B0301B" w:rsidP="00434CCE">
            <w:pPr>
              <w:rPr>
                <w:color w:val="auto"/>
              </w:rPr>
            </w:pPr>
            <w:r w:rsidRPr="00F95C8B">
              <w:rPr>
                <w:color w:val="auto"/>
              </w:rPr>
              <w:fldChar w:fldCharType="begin">
                <w:ffData>
                  <w:name w:val="Text13"/>
                  <w:enabled/>
                  <w:calcOnExit w:val="0"/>
                  <w:textInput>
                    <w:default w:val="insert details"/>
                  </w:textInput>
                </w:ffData>
              </w:fldChar>
            </w:r>
            <w:r w:rsidRPr="00F95C8B">
              <w:rPr>
                <w:color w:val="auto"/>
              </w:rPr>
              <w:instrText xml:space="preserve"> FORMTEXT </w:instrText>
            </w:r>
            <w:r w:rsidRPr="00F95C8B">
              <w:rPr>
                <w:color w:val="auto"/>
              </w:rPr>
            </w:r>
            <w:r w:rsidRPr="00F95C8B">
              <w:rPr>
                <w:color w:val="auto"/>
              </w:rPr>
              <w:fldChar w:fldCharType="separate"/>
            </w:r>
            <w:r w:rsidRPr="00F95C8B">
              <w:rPr>
                <w:noProof/>
                <w:color w:val="auto"/>
              </w:rPr>
              <w:t>insert details</w:t>
            </w:r>
            <w:r w:rsidRPr="00F95C8B">
              <w:rPr>
                <w:color w:val="auto"/>
              </w:rPr>
              <w:fldChar w:fldCharType="end"/>
            </w:r>
          </w:p>
          <w:p w14:paraId="1A99EDCE" w14:textId="77777777" w:rsidR="005D0C06" w:rsidRDefault="00F93BD7" w:rsidP="00434CCE">
            <w:pPr>
              <w:jc w:val="both"/>
            </w:pPr>
          </w:p>
        </w:tc>
      </w:tr>
    </w:tbl>
    <w:p w14:paraId="4C7561D6" w14:textId="77777777" w:rsidR="005D0C06" w:rsidRDefault="00F93BD7"/>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DD16A" w14:textId="77777777" w:rsidR="000C65B3" w:rsidRDefault="00B0301B">
      <w:pPr>
        <w:spacing w:after="0" w:line="240" w:lineRule="auto"/>
      </w:pPr>
      <w:r>
        <w:separator/>
      </w:r>
    </w:p>
  </w:endnote>
  <w:endnote w:type="continuationSeparator" w:id="0">
    <w:p w14:paraId="44856AEB" w14:textId="77777777" w:rsidR="000C65B3" w:rsidRDefault="00B0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72CA0" w14:textId="77777777" w:rsidR="000C65B3" w:rsidRDefault="00B0301B">
      <w:pPr>
        <w:spacing w:after="0" w:line="240" w:lineRule="auto"/>
      </w:pPr>
      <w:r>
        <w:separator/>
      </w:r>
    </w:p>
  </w:footnote>
  <w:footnote w:type="continuationSeparator" w:id="0">
    <w:p w14:paraId="6B1EC0F5" w14:textId="77777777" w:rsidR="000C65B3" w:rsidRDefault="00B03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09D4" w14:textId="77777777" w:rsidR="00CF1133" w:rsidRDefault="00B0301B">
    <w:pPr>
      <w:pStyle w:val="Header"/>
    </w:pPr>
    <w:r>
      <w:rPr>
        <w:noProof/>
      </w:rPr>
      <w:drawing>
        <wp:anchor distT="0" distB="0" distL="114300" distR="114300" simplePos="0" relativeHeight="251658240" behindDoc="0" locked="0" layoutInCell="1" allowOverlap="1" wp14:anchorId="3C0453BC" wp14:editId="0D0D3379">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7594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C563975"/>
    <w:multiLevelType w:val="hybridMultilevel"/>
    <w:tmpl w:val="D5EEB262"/>
    <w:lvl w:ilvl="0" w:tplc="16D42506">
      <w:start w:val="1"/>
      <w:numFmt w:val="bullet"/>
      <w:lvlText w:val=""/>
      <w:lvlJc w:val="left"/>
      <w:pPr>
        <w:ind w:left="720" w:hanging="360"/>
      </w:pPr>
      <w:rPr>
        <w:rFonts w:ascii="Symbol" w:hAnsi="Symbol" w:hint="default"/>
      </w:rPr>
    </w:lvl>
    <w:lvl w:ilvl="1" w:tplc="A1023F26" w:tentative="1">
      <w:start w:val="1"/>
      <w:numFmt w:val="bullet"/>
      <w:lvlText w:val="o"/>
      <w:lvlJc w:val="left"/>
      <w:pPr>
        <w:ind w:left="1440" w:hanging="360"/>
      </w:pPr>
      <w:rPr>
        <w:rFonts w:ascii="Courier New" w:hAnsi="Courier New" w:cs="Courier New" w:hint="default"/>
      </w:rPr>
    </w:lvl>
    <w:lvl w:ilvl="2" w:tplc="EB8604D8" w:tentative="1">
      <w:start w:val="1"/>
      <w:numFmt w:val="bullet"/>
      <w:lvlText w:val=""/>
      <w:lvlJc w:val="left"/>
      <w:pPr>
        <w:ind w:left="2160" w:hanging="360"/>
      </w:pPr>
      <w:rPr>
        <w:rFonts w:ascii="Wingdings" w:hAnsi="Wingdings" w:hint="default"/>
      </w:rPr>
    </w:lvl>
    <w:lvl w:ilvl="3" w:tplc="3B1E4C3E" w:tentative="1">
      <w:start w:val="1"/>
      <w:numFmt w:val="bullet"/>
      <w:lvlText w:val=""/>
      <w:lvlJc w:val="left"/>
      <w:pPr>
        <w:ind w:left="2880" w:hanging="360"/>
      </w:pPr>
      <w:rPr>
        <w:rFonts w:ascii="Symbol" w:hAnsi="Symbol" w:hint="default"/>
      </w:rPr>
    </w:lvl>
    <w:lvl w:ilvl="4" w:tplc="7DE2E000" w:tentative="1">
      <w:start w:val="1"/>
      <w:numFmt w:val="bullet"/>
      <w:lvlText w:val="o"/>
      <w:lvlJc w:val="left"/>
      <w:pPr>
        <w:ind w:left="3600" w:hanging="360"/>
      </w:pPr>
      <w:rPr>
        <w:rFonts w:ascii="Courier New" w:hAnsi="Courier New" w:cs="Courier New" w:hint="default"/>
      </w:rPr>
    </w:lvl>
    <w:lvl w:ilvl="5" w:tplc="10D28B14" w:tentative="1">
      <w:start w:val="1"/>
      <w:numFmt w:val="bullet"/>
      <w:lvlText w:val=""/>
      <w:lvlJc w:val="left"/>
      <w:pPr>
        <w:ind w:left="4320" w:hanging="360"/>
      </w:pPr>
      <w:rPr>
        <w:rFonts w:ascii="Wingdings" w:hAnsi="Wingdings" w:hint="default"/>
      </w:rPr>
    </w:lvl>
    <w:lvl w:ilvl="6" w:tplc="15A489FE" w:tentative="1">
      <w:start w:val="1"/>
      <w:numFmt w:val="bullet"/>
      <w:lvlText w:val=""/>
      <w:lvlJc w:val="left"/>
      <w:pPr>
        <w:ind w:left="5040" w:hanging="360"/>
      </w:pPr>
      <w:rPr>
        <w:rFonts w:ascii="Symbol" w:hAnsi="Symbol" w:hint="default"/>
      </w:rPr>
    </w:lvl>
    <w:lvl w:ilvl="7" w:tplc="64CE9408" w:tentative="1">
      <w:start w:val="1"/>
      <w:numFmt w:val="bullet"/>
      <w:lvlText w:val="o"/>
      <w:lvlJc w:val="left"/>
      <w:pPr>
        <w:ind w:left="5760" w:hanging="360"/>
      </w:pPr>
      <w:rPr>
        <w:rFonts w:ascii="Courier New" w:hAnsi="Courier New" w:cs="Courier New" w:hint="default"/>
      </w:rPr>
    </w:lvl>
    <w:lvl w:ilvl="8" w:tplc="A3EABF24"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FCA00C4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97AE02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9F8861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61AC6B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90494D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9708B94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996DBE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D5FCB77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192C11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9485925"/>
    <w:multiLevelType w:val="hybridMultilevel"/>
    <w:tmpl w:val="A394E51C"/>
    <w:lvl w:ilvl="0" w:tplc="49E8DA88">
      <w:start w:val="1"/>
      <w:numFmt w:val="bullet"/>
      <w:lvlText w:val=""/>
      <w:lvlJc w:val="left"/>
      <w:pPr>
        <w:ind w:left="720" w:hanging="360"/>
      </w:pPr>
      <w:rPr>
        <w:rFonts w:ascii="Symbol" w:hAnsi="Symbol" w:hint="default"/>
      </w:rPr>
    </w:lvl>
    <w:lvl w:ilvl="1" w:tplc="563482EA" w:tentative="1">
      <w:start w:val="1"/>
      <w:numFmt w:val="bullet"/>
      <w:lvlText w:val="o"/>
      <w:lvlJc w:val="left"/>
      <w:pPr>
        <w:ind w:left="1440" w:hanging="360"/>
      </w:pPr>
      <w:rPr>
        <w:rFonts w:ascii="Courier New" w:hAnsi="Courier New" w:cs="Courier New" w:hint="default"/>
      </w:rPr>
    </w:lvl>
    <w:lvl w:ilvl="2" w:tplc="EB641172" w:tentative="1">
      <w:start w:val="1"/>
      <w:numFmt w:val="bullet"/>
      <w:lvlText w:val=""/>
      <w:lvlJc w:val="left"/>
      <w:pPr>
        <w:ind w:left="2160" w:hanging="360"/>
      </w:pPr>
      <w:rPr>
        <w:rFonts w:ascii="Wingdings" w:hAnsi="Wingdings" w:hint="default"/>
      </w:rPr>
    </w:lvl>
    <w:lvl w:ilvl="3" w:tplc="85629006" w:tentative="1">
      <w:start w:val="1"/>
      <w:numFmt w:val="bullet"/>
      <w:lvlText w:val=""/>
      <w:lvlJc w:val="left"/>
      <w:pPr>
        <w:ind w:left="2880" w:hanging="360"/>
      </w:pPr>
      <w:rPr>
        <w:rFonts w:ascii="Symbol" w:hAnsi="Symbol" w:hint="default"/>
      </w:rPr>
    </w:lvl>
    <w:lvl w:ilvl="4" w:tplc="D6DAEEC4" w:tentative="1">
      <w:start w:val="1"/>
      <w:numFmt w:val="bullet"/>
      <w:lvlText w:val="o"/>
      <w:lvlJc w:val="left"/>
      <w:pPr>
        <w:ind w:left="3600" w:hanging="360"/>
      </w:pPr>
      <w:rPr>
        <w:rFonts w:ascii="Courier New" w:hAnsi="Courier New" w:cs="Courier New" w:hint="default"/>
      </w:rPr>
    </w:lvl>
    <w:lvl w:ilvl="5" w:tplc="93521534" w:tentative="1">
      <w:start w:val="1"/>
      <w:numFmt w:val="bullet"/>
      <w:lvlText w:val=""/>
      <w:lvlJc w:val="left"/>
      <w:pPr>
        <w:ind w:left="4320" w:hanging="360"/>
      </w:pPr>
      <w:rPr>
        <w:rFonts w:ascii="Wingdings" w:hAnsi="Wingdings" w:hint="default"/>
      </w:rPr>
    </w:lvl>
    <w:lvl w:ilvl="6" w:tplc="EE26E044" w:tentative="1">
      <w:start w:val="1"/>
      <w:numFmt w:val="bullet"/>
      <w:lvlText w:val=""/>
      <w:lvlJc w:val="left"/>
      <w:pPr>
        <w:ind w:left="5040" w:hanging="360"/>
      </w:pPr>
      <w:rPr>
        <w:rFonts w:ascii="Symbol" w:hAnsi="Symbol" w:hint="default"/>
      </w:rPr>
    </w:lvl>
    <w:lvl w:ilvl="7" w:tplc="511E5EE6" w:tentative="1">
      <w:start w:val="1"/>
      <w:numFmt w:val="bullet"/>
      <w:lvlText w:val="o"/>
      <w:lvlJc w:val="left"/>
      <w:pPr>
        <w:ind w:left="5760" w:hanging="360"/>
      </w:pPr>
      <w:rPr>
        <w:rFonts w:ascii="Courier New" w:hAnsi="Courier New" w:cs="Courier New" w:hint="default"/>
      </w:rPr>
    </w:lvl>
    <w:lvl w:ilvl="8" w:tplc="1E3A1DD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DD2"/>
    <w:rsid w:val="000C65B3"/>
    <w:rsid w:val="00B02DD2"/>
    <w:rsid w:val="00B0301B"/>
    <w:rsid w:val="00F9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582F"/>
  <w15:docId w15:val="{567ACAC4-2DAA-48F8-8C3B-539F16C9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NormalNumbered">
    <w:name w:val="Normal Numbered"/>
    <w:basedOn w:val="Normal"/>
    <w:qFormat/>
    <w:rsid w:val="004244FD"/>
    <w:pPr>
      <w:tabs>
        <w:tab w:val="left" w:pos="709"/>
        <w:tab w:val="num" w:pos="1112"/>
      </w:tabs>
      <w:spacing w:before="120" w:after="240" w:line="264" w:lineRule="auto"/>
      <w:ind w:left="0" w:firstLine="0"/>
      <w:jc w:val="both"/>
    </w:pPr>
    <w:rPr>
      <w:rFonts w:eastAsia="Times New Roman"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15</cp:revision>
  <dcterms:created xsi:type="dcterms:W3CDTF">2014-12-03T08:17:00Z</dcterms:created>
  <dcterms:modified xsi:type="dcterms:W3CDTF">2021-06-16T09:00:00Z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 Finance Out-turn Report 2020-21</vt:lpwstr>
  </property>
  <property fmtid="{D5CDD505-2E9C-101B-9397-08002B2CF9AE}" pid="3" name="LeadOfficer">
    <vt:lpwstr>Sarah Kemp</vt:lpwstr>
  </property>
  <property fmtid="{D5CDD505-2E9C-101B-9397-08002B2CF9AE}" pid="4" name="LeadOfficerEmail">
    <vt:lpwstr>Sarah.Kemp@lancashirelep.co.uk</vt:lpwstr>
  </property>
  <property fmtid="{D5CDD505-2E9C-101B-9397-08002B2CF9AE}" pid="5" name="LeadOfficerTel">
    <vt:lpwstr>Tel: 01772 531885</vt:lpwstr>
  </property>
  <property fmtid="{D5CDD505-2E9C-101B-9397-08002B2CF9AE}" pid="6" name="MeetingDate">
    <vt:lpwstr>Tuesday, 22 June 2021</vt:lpwstr>
  </property>
</Properties>
</file>